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F4" w:rsidRPr="00565197" w:rsidRDefault="000A33A4" w:rsidP="009A55F0">
      <w:pPr>
        <w:spacing w:line="240" w:lineRule="auto"/>
        <w:jc w:val="right"/>
        <w:rPr>
          <w:rFonts w:cs="B Titr"/>
          <w:i/>
          <w:iCs/>
          <w:color w:val="FF0000"/>
          <w:sz w:val="26"/>
          <w:szCs w:val="26"/>
          <w:u w:val="single"/>
          <w:rtl/>
          <w:lang w:bidi="fa-IR"/>
        </w:rPr>
      </w:pPr>
      <w:r w:rsidRPr="00565197">
        <w:rPr>
          <w:rFonts w:cs="B Titr" w:hint="cs"/>
          <w:i/>
          <w:iCs/>
          <w:color w:val="FF0000"/>
          <w:sz w:val="26"/>
          <w:szCs w:val="26"/>
          <w:u w:val="single"/>
          <w:rtl/>
          <w:lang w:bidi="fa-IR"/>
        </w:rPr>
        <w:t>توضیحات</w:t>
      </w:r>
      <w:bookmarkStart w:id="0" w:name="_GoBack"/>
      <w:bookmarkEnd w:id="0"/>
      <w:r w:rsidR="00F80491">
        <w:rPr>
          <w:rFonts w:cs="B Titr" w:hint="cs"/>
          <w:i/>
          <w:iCs/>
          <w:color w:val="FF0000"/>
          <w:sz w:val="26"/>
          <w:szCs w:val="26"/>
          <w:u w:val="single"/>
          <w:rtl/>
          <w:lang w:bidi="fa-IR"/>
        </w:rPr>
        <w:t>:</w:t>
      </w:r>
    </w:p>
    <w:p w:rsidR="000158AE" w:rsidRDefault="009D47C2" w:rsidP="000158AE">
      <w:pPr>
        <w:spacing w:line="240" w:lineRule="auto"/>
        <w:jc w:val="right"/>
        <w:rPr>
          <w:rFonts w:cs="2  Nazanin"/>
          <w:b/>
          <w:bCs/>
          <w:color w:val="000000" w:themeColor="text1"/>
          <w:sz w:val="26"/>
          <w:szCs w:val="26"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1</w:t>
      </w:r>
      <w:r w:rsidR="000A33A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-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منظور ازآموزشهای تخصصی رییس،مدیر و </w:t>
      </w:r>
      <w:r w:rsidR="000A33A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مترون بیمارستان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دوره های گذرانده شده در حیطه مدیریت ( در قالب کلاسهای حضوری و آزمون های الکترونیکی ) می باشد </w:t>
      </w:r>
    </w:p>
    <w:p w:rsidR="00943B3F" w:rsidRPr="00565197" w:rsidRDefault="005408AB" w:rsidP="000158AE">
      <w:pPr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2- </w:t>
      </w:r>
      <w:r w:rsidR="000B2492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سرانه افراد مشم</w:t>
      </w:r>
      <w:r w:rsidR="00127292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ول آموزش تخصصی کادر درمان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، در برگیرنده آموزش هایی است که در قالب بسته آموزش مراکز درمانی و معاونت درمان ابلاغ گردیده که </w:t>
      </w:r>
      <w:r w:rsid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بخشی از 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دوره های آموزش</w:t>
      </w:r>
      <w:r w:rsid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ی توسط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مراکز درمانی و </w:t>
      </w:r>
      <w:r w:rsid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بخشی از آنها به صورت متمرکز</w:t>
      </w:r>
      <w:r w:rsidR="000B2492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توسط این معاونت برگزار می گردد .</w:t>
      </w:r>
      <w:r w:rsidR="000158AE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 </w:t>
      </w:r>
    </w:p>
    <w:p w:rsidR="004C75A8" w:rsidRPr="00565197" w:rsidRDefault="005408AB" w:rsidP="000158AE">
      <w:pPr>
        <w:spacing w:line="240" w:lineRule="auto"/>
        <w:jc w:val="lowKashida"/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3</w:t>
      </w:r>
      <w:r w:rsidR="004C75A8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-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منظور از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سرانه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آموزش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کلیه رشته های شغلی حوزه درمان</w:t>
      </w:r>
      <w:r w:rsidR="00C714A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آموزشهای 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کارکنان بالینی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سال 94 برمبنای اعتباربخشی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بوده</w:t>
      </w:r>
      <w:r w:rsidR="00C714A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که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این 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بند لازم است صرفا آمار کارکنان بالینی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مرکز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اعلام گردد .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عناوین دوره های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آموزشی درج شده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در </w:t>
      </w:r>
      <w:r w:rsidR="00A903F0" w:rsidRPr="005F0524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6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بسته آموزش مراکز درمانی سال 94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  <w:r w:rsidR="000158AE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</w:t>
      </w:r>
      <w:r w:rsidR="000158AE">
        <w:rPr>
          <w:rFonts w:cs="2  Nazanin"/>
          <w:b/>
          <w:bCs/>
          <w:color w:val="000000" w:themeColor="text1"/>
          <w:sz w:val="26"/>
          <w:szCs w:val="26"/>
          <w:lang w:bidi="fa-IR"/>
        </w:rPr>
        <w:t xml:space="preserve">            </w:t>
      </w:r>
    </w:p>
    <w:p w:rsidR="0081769B" w:rsidRPr="00A5473E" w:rsidRDefault="00C714AB" w:rsidP="000158AE">
      <w:pPr>
        <w:bidi/>
        <w:spacing w:line="240" w:lineRule="auto"/>
        <w:jc w:val="lowKashida"/>
        <w:rPr>
          <w:rFonts w:cs="2  Nazanin"/>
          <w:b/>
          <w:bCs/>
          <w:color w:val="000000" w:themeColor="text1"/>
          <w:sz w:val="6"/>
          <w:szCs w:val="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5- منظور از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سرانه آموزش کلیه رشته های شغلی خارج حوزه درمان</w:t>
      </w:r>
      <w:r w:rsidR="00044AC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،آموزشهای کارکنان غیر بالینی</w:t>
      </w:r>
      <w:r w:rsidR="00DC2292">
        <w:rPr>
          <w:rFonts w:cs="2  Nazanin"/>
          <w:b/>
          <w:bCs/>
          <w:color w:val="000000" w:themeColor="text1"/>
          <w:sz w:val="26"/>
          <w:szCs w:val="26"/>
          <w:lang w:bidi="fa-IR"/>
        </w:rPr>
        <w:t xml:space="preserve"> </w:t>
      </w:r>
      <w:r w:rsidR="00044AC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در سال 94 بر مبنای اعتباربخشی</w:t>
      </w:r>
      <w:r w:rsidR="00DC2292">
        <w:rPr>
          <w:rFonts w:cs="2  Nazanin"/>
          <w:b/>
          <w:bCs/>
          <w:color w:val="000000" w:themeColor="text1"/>
          <w:sz w:val="26"/>
          <w:szCs w:val="26"/>
          <w:lang w:bidi="fa-IR"/>
        </w:rPr>
        <w:t xml:space="preserve">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بوده</w:t>
      </w:r>
      <w:r w:rsidR="0081769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که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این بند لازم است صرفا آمار کارکنان غیر بالینی اعلام گردد .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عناوین دوره های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آموزشی درج شده 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در</w:t>
      </w:r>
      <w:r w:rsidR="005F0524" w:rsidRPr="005F0524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>صفحه 6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بسته آموزش مراکز درمانی سال 94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</w:p>
    <w:p w:rsidR="0090397B" w:rsidRPr="008F33BD" w:rsidRDefault="0081769B" w:rsidP="000158AE">
      <w:pPr>
        <w:bidi/>
        <w:spacing w:line="240" w:lineRule="auto"/>
        <w:jc w:val="lowKashida"/>
        <w:rPr>
          <w:rFonts w:cs="2  Nazanin"/>
          <w:b/>
          <w:bCs/>
          <w:color w:val="000000" w:themeColor="text1"/>
          <w:sz w:val="2"/>
          <w:szCs w:val="2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6</w:t>
      </w:r>
      <w:r w:rsidR="00044AC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- </w:t>
      </w:r>
      <w:r w:rsidR="0085283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شاخص های</w:t>
      </w:r>
      <w:r w:rsidR="00852834"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 بند های </w:t>
      </w:r>
      <w:r w:rsidR="00767225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DC2292">
        <w:rPr>
          <w:rFonts w:cs="B Titr"/>
          <w:b/>
          <w:bCs/>
          <w:i/>
          <w:iCs/>
          <w:color w:val="000000" w:themeColor="text1"/>
          <w:sz w:val="26"/>
          <w:szCs w:val="26"/>
          <w:u w:val="single"/>
          <w:lang w:bidi="fa-IR"/>
        </w:rPr>
        <w:t>23</w:t>
      </w:r>
      <w:r w:rsidR="00767225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  تا </w:t>
      </w:r>
      <w:r w:rsidR="00DC2292">
        <w:rPr>
          <w:rFonts w:cs="B Titr"/>
          <w:b/>
          <w:bCs/>
          <w:i/>
          <w:iCs/>
          <w:color w:val="000000" w:themeColor="text1"/>
          <w:sz w:val="26"/>
          <w:szCs w:val="26"/>
          <w:u w:val="single"/>
          <w:lang w:bidi="fa-IR"/>
        </w:rPr>
        <w:t>35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صرفا نشان دهنده درصد دوره های آموزشی تخصصی اجرا شده جهت گروه های 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ذکر شده در جدول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می باشد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،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لذا در محاسبه شاخص های 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پیشگفت 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، </w:t>
      </w:r>
      <w:r w:rsidR="0085460F" w:rsidRPr="008F33BD">
        <w:rPr>
          <w:rFonts w:cs="B Titr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>تکرار دوره ها مد نظر</w:t>
      </w:r>
      <w:r w:rsidR="002D3731" w:rsidRPr="008F33BD">
        <w:rPr>
          <w:rFonts w:cs="B Titr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>نمی باشد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  <w:r w:rsidR="00607D39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ضمناً 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بندهای قابل محاسبه بسته به نوع خدمات </w:t>
      </w:r>
      <w:r w:rsidR="008D061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و بخش های موجود </w:t>
      </w:r>
      <w:r w:rsidR="00A5473E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در </w:t>
      </w:r>
      <w:r w:rsidR="00A5473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مرکز </w:t>
      </w:r>
      <w:r w:rsidR="008D061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می باشد .</w:t>
      </w:r>
    </w:p>
    <w:p w:rsidR="008D0619" w:rsidRPr="00565197" w:rsidRDefault="008D0619" w:rsidP="000158AE">
      <w:pPr>
        <w:bidi/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7- منظور از دوره های آموزش تخصصی گروه مامایی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بند </w:t>
      </w:r>
      <w:r w:rsidR="00DC2292">
        <w:rPr>
          <w:rFonts w:cs="2  Nazanin"/>
          <w:b/>
          <w:bCs/>
          <w:color w:val="000000" w:themeColor="text1"/>
          <w:sz w:val="26"/>
          <w:szCs w:val="26"/>
          <w:lang w:bidi="fa-IR"/>
        </w:rPr>
        <w:t>32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شاخص های آموزش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آموزش های قید شده در</w:t>
      </w:r>
      <w:r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51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</w:p>
    <w:p w:rsidR="008D0619" w:rsidRPr="00565197" w:rsidRDefault="008D0619" w:rsidP="000158AE">
      <w:pPr>
        <w:bidi/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8- منظور از دوره های آموزش تخصصی گروه بیهوشی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بند </w:t>
      </w:r>
      <w:r w:rsidR="00DC2292">
        <w:rPr>
          <w:rFonts w:cs="2  Nazanin"/>
          <w:b/>
          <w:bCs/>
          <w:color w:val="000000" w:themeColor="text1"/>
          <w:sz w:val="26"/>
          <w:szCs w:val="26"/>
          <w:lang w:bidi="fa-IR"/>
        </w:rPr>
        <w:t>33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شاخص های آموزش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آموزش های قید شده در</w:t>
      </w:r>
      <w:r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43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</w:p>
    <w:p w:rsidR="006E338E" w:rsidRPr="00565197" w:rsidRDefault="00F00C62" w:rsidP="000158AE">
      <w:pPr>
        <w:bidi/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9-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منظور از دوره های آموزش تخصصی گروه اتاق عمل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بند </w:t>
      </w:r>
      <w:r w:rsidR="00DC2292">
        <w:rPr>
          <w:rFonts w:cs="2  Nazanin"/>
          <w:b/>
          <w:bCs/>
          <w:color w:val="000000" w:themeColor="text1"/>
          <w:sz w:val="26"/>
          <w:szCs w:val="26"/>
          <w:lang w:bidi="fa-IR"/>
        </w:rPr>
        <w:t>34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شاخص های آموزش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) 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آموزش های قید شده در</w:t>
      </w:r>
      <w:r w:rsidR="006E338E"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43 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</w:p>
    <w:p w:rsidR="000E6BCC" w:rsidRPr="00565197" w:rsidRDefault="006E338E" w:rsidP="000158AE">
      <w:pPr>
        <w:bidi/>
        <w:spacing w:line="240" w:lineRule="auto"/>
        <w:jc w:val="lowKashida"/>
        <w:rPr>
          <w:rFonts w:cs="2  Nazanin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10- منظور از دوره های آموزش گروه آزمایشگاه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بند  </w:t>
      </w:r>
      <w:r w:rsidR="00DC2292">
        <w:rPr>
          <w:rFonts w:cs="2  Nazanin"/>
          <w:b/>
          <w:bCs/>
          <w:color w:val="000000" w:themeColor="text1"/>
          <w:sz w:val="26"/>
          <w:szCs w:val="26"/>
          <w:lang w:bidi="fa-IR"/>
        </w:rPr>
        <w:t>35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شاخص های آموزش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)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، آموزش های قید شده در</w:t>
      </w:r>
      <w:r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99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</w:p>
    <w:sectPr w:rsidR="000E6BCC" w:rsidRPr="00565197" w:rsidSect="0058419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0D" w:rsidRDefault="00481B0D" w:rsidP="000E6BCC">
      <w:pPr>
        <w:spacing w:after="0" w:line="240" w:lineRule="auto"/>
      </w:pPr>
      <w:r>
        <w:separator/>
      </w:r>
    </w:p>
  </w:endnote>
  <w:endnote w:type="continuationSeparator" w:id="0">
    <w:p w:rsidR="00481B0D" w:rsidRDefault="00481B0D" w:rsidP="000E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460F" w:rsidRDefault="00C61EC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33382D">
          <w:instrText xml:space="preserve"> PAGE   \* MERGEFORMAT </w:instrText>
        </w:r>
        <w:r>
          <w:fldChar w:fldCharType="separate"/>
        </w:r>
        <w:r w:rsidR="009A55F0" w:rsidRPr="009A55F0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85460F">
          <w:rPr>
            <w:b/>
          </w:rPr>
          <w:t xml:space="preserve"> | </w:t>
        </w:r>
        <w:r w:rsidR="0085460F">
          <w:rPr>
            <w:color w:val="7F7F7F" w:themeColor="background1" w:themeShade="7F"/>
            <w:spacing w:val="60"/>
          </w:rPr>
          <w:t>Page</w:t>
        </w:r>
      </w:p>
    </w:sdtContent>
  </w:sdt>
  <w:p w:rsidR="0085460F" w:rsidRDefault="00854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0D" w:rsidRDefault="00481B0D" w:rsidP="000E6BCC">
      <w:pPr>
        <w:spacing w:after="0" w:line="240" w:lineRule="auto"/>
      </w:pPr>
      <w:r>
        <w:separator/>
      </w:r>
    </w:p>
  </w:footnote>
  <w:footnote w:type="continuationSeparator" w:id="0">
    <w:p w:rsidR="00481B0D" w:rsidRDefault="00481B0D" w:rsidP="000E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7EF"/>
    <w:multiLevelType w:val="hybridMultilevel"/>
    <w:tmpl w:val="37CC1900"/>
    <w:lvl w:ilvl="0" w:tplc="D75C8FE2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37B6"/>
    <w:multiLevelType w:val="hybridMultilevel"/>
    <w:tmpl w:val="37A2D11C"/>
    <w:lvl w:ilvl="0" w:tplc="5E6828BC">
      <w:start w:val="7"/>
      <w:numFmt w:val="bullet"/>
      <w:lvlText w:val="-"/>
      <w:lvlJc w:val="left"/>
      <w:pPr>
        <w:ind w:left="1330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065" w:hanging="360"/>
      </w:pPr>
      <w:rPr>
        <w:rFonts w:ascii="Wingdings" w:hAnsi="Wingdings" w:hint="default"/>
      </w:rPr>
    </w:lvl>
  </w:abstractNum>
  <w:abstractNum w:abstractNumId="2">
    <w:nsid w:val="65CD3058"/>
    <w:multiLevelType w:val="hybridMultilevel"/>
    <w:tmpl w:val="EC38BE6E"/>
    <w:lvl w:ilvl="0" w:tplc="FF868266">
      <w:start w:val="7"/>
      <w:numFmt w:val="bullet"/>
      <w:lvlText w:val="-"/>
      <w:lvlJc w:val="left"/>
      <w:pPr>
        <w:ind w:left="1366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3A4"/>
    <w:rsid w:val="000158AE"/>
    <w:rsid w:val="00044AC9"/>
    <w:rsid w:val="000A33A4"/>
    <w:rsid w:val="000B2492"/>
    <w:rsid w:val="000E6BCC"/>
    <w:rsid w:val="00127292"/>
    <w:rsid w:val="002324CC"/>
    <w:rsid w:val="002C1DC6"/>
    <w:rsid w:val="002D1EB7"/>
    <w:rsid w:val="002D3731"/>
    <w:rsid w:val="00316ECB"/>
    <w:rsid w:val="0033382D"/>
    <w:rsid w:val="004675DF"/>
    <w:rsid w:val="00481B0D"/>
    <w:rsid w:val="004C75A8"/>
    <w:rsid w:val="004E5EF2"/>
    <w:rsid w:val="005408AB"/>
    <w:rsid w:val="00540F65"/>
    <w:rsid w:val="00546A32"/>
    <w:rsid w:val="00551FA2"/>
    <w:rsid w:val="00565197"/>
    <w:rsid w:val="00584197"/>
    <w:rsid w:val="00597840"/>
    <w:rsid w:val="005F0524"/>
    <w:rsid w:val="006023F4"/>
    <w:rsid w:val="00607D39"/>
    <w:rsid w:val="00633CFD"/>
    <w:rsid w:val="00685B6F"/>
    <w:rsid w:val="006E071B"/>
    <w:rsid w:val="006E338E"/>
    <w:rsid w:val="00767225"/>
    <w:rsid w:val="00803B30"/>
    <w:rsid w:val="0081769B"/>
    <w:rsid w:val="00852834"/>
    <w:rsid w:val="0085460F"/>
    <w:rsid w:val="00887D47"/>
    <w:rsid w:val="008978EB"/>
    <w:rsid w:val="008D0619"/>
    <w:rsid w:val="008D35E4"/>
    <w:rsid w:val="008F33BD"/>
    <w:rsid w:val="0090397B"/>
    <w:rsid w:val="00943B3F"/>
    <w:rsid w:val="00972C41"/>
    <w:rsid w:val="009A55F0"/>
    <w:rsid w:val="009A7981"/>
    <w:rsid w:val="009D47C2"/>
    <w:rsid w:val="00A31261"/>
    <w:rsid w:val="00A506BC"/>
    <w:rsid w:val="00A5473E"/>
    <w:rsid w:val="00A903F0"/>
    <w:rsid w:val="00A97182"/>
    <w:rsid w:val="00C23283"/>
    <w:rsid w:val="00C61ECC"/>
    <w:rsid w:val="00C714AB"/>
    <w:rsid w:val="00CD544E"/>
    <w:rsid w:val="00D92233"/>
    <w:rsid w:val="00DB52C1"/>
    <w:rsid w:val="00DC2292"/>
    <w:rsid w:val="00E32853"/>
    <w:rsid w:val="00E91D79"/>
    <w:rsid w:val="00E930F9"/>
    <w:rsid w:val="00F00C62"/>
    <w:rsid w:val="00F80491"/>
    <w:rsid w:val="00FF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AB"/>
    <w:pPr>
      <w:ind w:left="720"/>
      <w:contextualSpacing/>
    </w:pPr>
  </w:style>
  <w:style w:type="table" w:styleId="TableGrid">
    <w:name w:val="Table Grid"/>
    <w:basedOn w:val="TableNormal"/>
    <w:uiPriority w:val="59"/>
    <w:rsid w:val="009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BCC"/>
  </w:style>
  <w:style w:type="paragraph" w:styleId="Footer">
    <w:name w:val="footer"/>
    <w:basedOn w:val="Normal"/>
    <w:link w:val="FooterChar"/>
    <w:uiPriority w:val="99"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AB"/>
    <w:pPr>
      <w:ind w:left="720"/>
      <w:contextualSpacing/>
    </w:pPr>
  </w:style>
  <w:style w:type="table" w:styleId="TableGrid">
    <w:name w:val="Table Grid"/>
    <w:basedOn w:val="TableNormal"/>
    <w:uiPriority w:val="59"/>
    <w:rsid w:val="009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BCC"/>
  </w:style>
  <w:style w:type="paragraph" w:styleId="Footer">
    <w:name w:val="footer"/>
    <w:basedOn w:val="Normal"/>
    <w:link w:val="FooterChar"/>
    <w:uiPriority w:val="99"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CBFE-8FF2-43B2-B3AD-8F0BA851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darman-lib</dc:creator>
  <cp:lastModifiedBy>amozesh6-pc</cp:lastModifiedBy>
  <cp:revision>9</cp:revision>
  <cp:lastPrinted>2015-10-11T06:45:00Z</cp:lastPrinted>
  <dcterms:created xsi:type="dcterms:W3CDTF">2015-09-30T09:08:00Z</dcterms:created>
  <dcterms:modified xsi:type="dcterms:W3CDTF">2015-10-11T06:45:00Z</dcterms:modified>
</cp:coreProperties>
</file>